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8A8F" w14:textId="77777777" w:rsidR="00802314" w:rsidRPr="00540DEB" w:rsidRDefault="00802314" w:rsidP="0080231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jc w:val="center"/>
        <w:outlineLvl w:val="1"/>
        <w:rPr>
          <w:rFonts w:ascii="Palatino Linotype" w:eastAsia="MS Mincho" w:hAnsi="Palatino Linotype"/>
          <w:caps/>
          <w:spacing w:val="15"/>
          <w:lang w:bidi="en-US"/>
        </w:rPr>
      </w:pPr>
      <w:r w:rsidRPr="00401DE0">
        <w:rPr>
          <w:rFonts w:ascii="Palatino Linotype" w:eastAsia="MS Mincho" w:hAnsi="Palatino Linotype"/>
          <w:caps/>
          <w:spacing w:val="15"/>
          <w:lang w:bidi="en-US"/>
        </w:rPr>
        <w:t xml:space="preserve">MŰSZAKI </w:t>
      </w:r>
      <w:r>
        <w:rPr>
          <w:rFonts w:ascii="Palatino Linotype" w:eastAsia="MS Mincho" w:hAnsi="Palatino Linotype"/>
          <w:caps/>
          <w:spacing w:val="15"/>
          <w:lang w:bidi="en-US"/>
        </w:rPr>
        <w:t>Leírás</w:t>
      </w:r>
    </w:p>
    <w:p w14:paraId="37885ED9" w14:textId="0A1A303F" w:rsidR="00802314" w:rsidRPr="003369CD" w:rsidRDefault="007B52B2" w:rsidP="003369CD">
      <w:pPr>
        <w:jc w:val="center"/>
        <w:rPr>
          <w:rFonts w:ascii="Palatino Linotype" w:hAnsi="Palatino Linotype"/>
        </w:rPr>
      </w:pPr>
      <w:r w:rsidRPr="007B52B2">
        <w:rPr>
          <w:rFonts w:ascii="Palatino Linotype" w:hAnsi="Palatino Linotype"/>
          <w:b/>
          <w:color w:val="000000" w:themeColor="text1"/>
        </w:rPr>
        <w:t xml:space="preserve">SM10-MIN-PC2 „Képzések biztosítása a kedvezményezett </w:t>
      </w:r>
      <w:proofErr w:type="gramStart"/>
      <w:r w:rsidRPr="007B52B2">
        <w:rPr>
          <w:rFonts w:ascii="Palatino Linotype" w:hAnsi="Palatino Linotype"/>
          <w:b/>
          <w:color w:val="000000" w:themeColor="text1"/>
        </w:rPr>
        <w:t>szervezetek</w:t>
      </w:r>
      <w:proofErr w:type="gramEnd"/>
      <w:r w:rsidRPr="007B52B2">
        <w:rPr>
          <w:rFonts w:ascii="Palatino Linotype" w:hAnsi="Palatino Linotype"/>
          <w:b/>
          <w:color w:val="000000" w:themeColor="text1"/>
        </w:rPr>
        <w:t xml:space="preserve"> valamint hátrányos helyzetű személyek, köztük romák számára” projekt </w:t>
      </w:r>
      <w:r w:rsidR="0009007A">
        <w:rPr>
          <w:rFonts w:ascii="Palatino Linotype" w:hAnsi="Palatino Linotype"/>
          <w:b/>
          <w:color w:val="000000" w:themeColor="text1"/>
        </w:rPr>
        <w:t>megvalósítása</w:t>
      </w:r>
      <w:r w:rsidR="00802314" w:rsidRPr="0009007A">
        <w:rPr>
          <w:rFonts w:ascii="Palatino Linotype" w:hAnsi="Palatino Linotype"/>
          <w:b/>
          <w:color w:val="000000" w:themeColor="text1"/>
        </w:rPr>
        <w:t xml:space="preserve"> érdekében a közbeszerzési feladatok és tevékenységek ellátása; a közbeszerzési eljárásokban felelős akkreditált közbeszerzési szaktanácsadói tevékenység biztosítása.</w:t>
      </w:r>
    </w:p>
    <w:p w14:paraId="05AB8EF1" w14:textId="77777777" w:rsidR="00802314" w:rsidRPr="00401DE0" w:rsidRDefault="00802314" w:rsidP="0080231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jc w:val="both"/>
        <w:outlineLvl w:val="1"/>
        <w:rPr>
          <w:rFonts w:ascii="Palatino Linotype" w:eastAsia="MS Mincho" w:hAnsi="Palatino Linotype"/>
          <w:caps/>
          <w:spacing w:val="15"/>
          <w:lang w:bidi="en-US"/>
        </w:rPr>
      </w:pPr>
      <w:r w:rsidRPr="00401DE0">
        <w:rPr>
          <w:rFonts w:ascii="Palatino Linotype" w:eastAsia="MS Mincho" w:hAnsi="Palatino Linotype"/>
          <w:caps/>
          <w:spacing w:val="15"/>
          <w:lang w:bidi="en-US"/>
        </w:rPr>
        <w:t xml:space="preserve">A kiemelt projekt </w:t>
      </w:r>
      <w:r w:rsidR="0009007A">
        <w:rPr>
          <w:rFonts w:ascii="Palatino Linotype" w:eastAsia="MS Mincho" w:hAnsi="Palatino Linotype"/>
          <w:caps/>
          <w:spacing w:val="15"/>
          <w:lang w:bidi="en-US"/>
        </w:rPr>
        <w:t xml:space="preserve">tervezett fejlesztésenek </w:t>
      </w:r>
      <w:r w:rsidRPr="00401DE0">
        <w:rPr>
          <w:rFonts w:ascii="Palatino Linotype" w:eastAsia="MS Mincho" w:hAnsi="Palatino Linotype"/>
          <w:caps/>
          <w:spacing w:val="15"/>
          <w:lang w:bidi="en-US"/>
        </w:rPr>
        <w:t>bemutatása</w:t>
      </w:r>
    </w:p>
    <w:p w14:paraId="6C0A1055" w14:textId="77777777" w:rsidR="009853E6" w:rsidRDefault="009853E6" w:rsidP="009853E6">
      <w:pPr>
        <w:jc w:val="both"/>
      </w:pPr>
    </w:p>
    <w:p w14:paraId="34A5CF2B" w14:textId="10FA43DC" w:rsidR="009853E6" w:rsidRDefault="009853E6" w:rsidP="009853E6">
      <w:pPr>
        <w:jc w:val="both"/>
      </w:pPr>
      <w:r>
        <w:t>A Svájci Alap SM10-MIN-PC2 program célja a digitális megosztottság csökkentése, különösen a hátrányos helyzetű csoportok, mint például a romák, digitális kompetenciáinak fejlesztésén keresztül. A program első komponense a digitális terek és szolgáltatások hozzáférhetőségének javítására, míg a második komponens a célcsoport digitális készségeinek fejlesztésére összpontosít.</w:t>
      </w:r>
    </w:p>
    <w:p w14:paraId="1FC81EBE" w14:textId="58097BFD" w:rsidR="0063719D" w:rsidRPr="0063719D" w:rsidRDefault="009853E6" w:rsidP="009853E6">
      <w:pPr>
        <w:jc w:val="both"/>
        <w:rPr>
          <w:rFonts w:ascii="Palatino Linotype" w:hAnsi="Palatino Linotype" w:cs="Arial"/>
        </w:rPr>
      </w:pPr>
      <w:r>
        <w:t>A Társadalmi Esélyteremtési Főigazgatóság feladata képzések tervezése és megvalósítása, amelyek segítik a hátrányos helyzetű csoportok, különösen a romák digitális készségeinek és képességeinek fejlesztését, eszközhasználatát és online szolgáltatások igénybevételének támogatását. A képzések célja, hogy a résztvevők jobban hozzáférjenek az online közigazgatási, foglalkoztatási, oktatási és egészségügyi szolgáltatásokhoz, ezzel elősegítve aktív részvételüket az információs társadalomban.</w:t>
      </w:r>
    </w:p>
    <w:p w14:paraId="5B5014AC" w14:textId="77777777" w:rsidR="0063719D" w:rsidRPr="00401DE0" w:rsidRDefault="0063719D" w:rsidP="0063719D">
      <w:pPr>
        <w:pBdr>
          <w:top w:val="single" w:sz="4" w:space="0" w:color="1F497D" w:themeColor="text2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jc w:val="both"/>
        <w:outlineLvl w:val="1"/>
        <w:rPr>
          <w:rFonts w:ascii="Palatino Linotype" w:eastAsia="MS Mincho" w:hAnsi="Palatino Linotype"/>
          <w:caps/>
          <w:color w:val="243F60"/>
          <w:spacing w:val="15"/>
        </w:rPr>
      </w:pPr>
      <w:r w:rsidRPr="00401DE0">
        <w:rPr>
          <w:rFonts w:ascii="Palatino Linotype" w:eastAsia="MS Mincho" w:hAnsi="Palatino Linotype"/>
          <w:caps/>
          <w:color w:val="243F60"/>
          <w:spacing w:val="15"/>
        </w:rPr>
        <w:t xml:space="preserve">A közbeszerzési </w:t>
      </w:r>
      <w:r>
        <w:rPr>
          <w:rFonts w:ascii="Palatino Linotype" w:eastAsia="MS Mincho" w:hAnsi="Palatino Linotype"/>
          <w:caps/>
          <w:color w:val="243F60"/>
          <w:spacing w:val="15"/>
        </w:rPr>
        <w:t>eljárás célja</w:t>
      </w:r>
      <w:r w:rsidRPr="00401DE0">
        <w:rPr>
          <w:rFonts w:ascii="Palatino Linotype" w:eastAsia="MS Mincho" w:hAnsi="Palatino Linotype"/>
          <w:caps/>
          <w:color w:val="243F60"/>
          <w:spacing w:val="15"/>
        </w:rPr>
        <w:t xml:space="preserve"> </w:t>
      </w:r>
    </w:p>
    <w:p w14:paraId="2A35E66C" w14:textId="77777777" w:rsidR="00F7320A" w:rsidRPr="0009007A" w:rsidRDefault="00F7320A" w:rsidP="0009007A">
      <w:pPr>
        <w:spacing w:before="200"/>
        <w:jc w:val="both"/>
        <w:rPr>
          <w:rFonts w:ascii="Palatino Linotype" w:eastAsia="MS Mincho" w:hAnsi="Palatino Linotype"/>
          <w:lang w:bidi="en-US"/>
        </w:rPr>
      </w:pPr>
    </w:p>
    <w:p w14:paraId="30AC2EA9" w14:textId="77777777" w:rsidR="00686C55" w:rsidRDefault="00686C55" w:rsidP="00686C55">
      <w:pPr>
        <w:jc w:val="both"/>
      </w:pPr>
      <w:r>
        <w:t xml:space="preserve">A kiemelt projekt </w:t>
      </w:r>
      <w:r w:rsidRPr="004F0D5F">
        <w:t xml:space="preserve">lebonyolításában résztvevő munkatársak számára </w:t>
      </w:r>
      <w:r>
        <w:t>az alábbi informatikai eszközök/programok beszerzése szükséges:</w:t>
      </w:r>
    </w:p>
    <w:p w14:paraId="75EA64A7" w14:textId="77777777" w:rsidR="00550C8E" w:rsidRPr="004F0D5F" w:rsidRDefault="00550C8E" w:rsidP="00686C55">
      <w:pPr>
        <w:jc w:val="both"/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</w:tblGrid>
      <w:tr w:rsidR="00686C55" w:rsidRPr="00BA71F4" w14:paraId="4891D470" w14:textId="77777777" w:rsidTr="00F5358C">
        <w:trPr>
          <w:trHeight w:val="312"/>
        </w:trPr>
        <w:tc>
          <w:tcPr>
            <w:tcW w:w="7700" w:type="dxa"/>
            <w:shd w:val="clear" w:color="auto" w:fill="auto"/>
            <w:noWrap/>
            <w:vAlign w:val="center"/>
            <w:hideMark/>
          </w:tcPr>
          <w:p w14:paraId="5886DB24" w14:textId="77777777" w:rsidR="00686C55" w:rsidRPr="00BA71F4" w:rsidRDefault="00686C55" w:rsidP="00686C55">
            <w:pPr>
              <w:pStyle w:val="Listaszerbekezds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1F4">
              <w:rPr>
                <w:rFonts w:ascii="Times New Roman" w:hAnsi="Times New Roman"/>
                <w:color w:val="000000"/>
              </w:rPr>
              <w:t>19 db Mobiltelefon</w:t>
            </w:r>
          </w:p>
        </w:tc>
      </w:tr>
      <w:tr w:rsidR="00686C55" w:rsidRPr="00BA71F4" w14:paraId="2898B5E0" w14:textId="77777777" w:rsidTr="00F5358C">
        <w:trPr>
          <w:trHeight w:val="312"/>
        </w:trPr>
        <w:tc>
          <w:tcPr>
            <w:tcW w:w="7700" w:type="dxa"/>
            <w:shd w:val="clear" w:color="auto" w:fill="auto"/>
            <w:noWrap/>
            <w:vAlign w:val="center"/>
            <w:hideMark/>
          </w:tcPr>
          <w:p w14:paraId="1D8F96CB" w14:textId="77777777" w:rsidR="00686C55" w:rsidRPr="00BA71F4" w:rsidRDefault="00686C55" w:rsidP="00686C55">
            <w:pPr>
              <w:pStyle w:val="Listaszerbekezds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1F4">
              <w:rPr>
                <w:rFonts w:ascii="Times New Roman" w:hAnsi="Times New Roman"/>
                <w:color w:val="000000"/>
              </w:rPr>
              <w:t>5 db Routerek, 5 db projektor</w:t>
            </w:r>
          </w:p>
        </w:tc>
      </w:tr>
      <w:tr w:rsidR="00686C55" w:rsidRPr="00BA71F4" w14:paraId="04C029A9" w14:textId="77777777" w:rsidTr="00F5358C">
        <w:trPr>
          <w:trHeight w:val="312"/>
        </w:trPr>
        <w:tc>
          <w:tcPr>
            <w:tcW w:w="7700" w:type="dxa"/>
            <w:shd w:val="clear" w:color="auto" w:fill="auto"/>
            <w:noWrap/>
            <w:vAlign w:val="center"/>
            <w:hideMark/>
          </w:tcPr>
          <w:p w14:paraId="05861AD6" w14:textId="77777777" w:rsidR="00686C55" w:rsidRPr="00BA71F4" w:rsidRDefault="00686C55" w:rsidP="00686C55">
            <w:pPr>
              <w:pStyle w:val="Listaszerbekezds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1F4">
              <w:rPr>
                <w:rFonts w:ascii="Times New Roman" w:hAnsi="Times New Roman"/>
                <w:color w:val="000000"/>
              </w:rPr>
              <w:t>69 db Microsoft Office 2024 szoftver-csomag</w:t>
            </w:r>
          </w:p>
        </w:tc>
      </w:tr>
      <w:tr w:rsidR="00686C55" w:rsidRPr="00BA71F4" w14:paraId="4C8361A2" w14:textId="77777777" w:rsidTr="00F5358C">
        <w:trPr>
          <w:trHeight w:val="312"/>
        </w:trPr>
        <w:tc>
          <w:tcPr>
            <w:tcW w:w="7700" w:type="dxa"/>
            <w:shd w:val="clear" w:color="auto" w:fill="auto"/>
            <w:noWrap/>
            <w:vAlign w:val="center"/>
            <w:hideMark/>
          </w:tcPr>
          <w:p w14:paraId="5B0AE86C" w14:textId="77777777" w:rsidR="00686C55" w:rsidRPr="00BA71F4" w:rsidRDefault="00686C55" w:rsidP="00686C55">
            <w:pPr>
              <w:pStyle w:val="Listaszerbekezds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A71F4">
              <w:rPr>
                <w:rFonts w:ascii="Times New Roman" w:hAnsi="Times New Roman"/>
                <w:color w:val="000000"/>
              </w:rPr>
              <w:t>69 db Vírusírtó</w:t>
            </w:r>
          </w:p>
        </w:tc>
      </w:tr>
      <w:tr w:rsidR="00DA7C32" w:rsidRPr="00BA71F4" w14:paraId="5513D817" w14:textId="77777777" w:rsidTr="00F5358C">
        <w:trPr>
          <w:trHeight w:val="312"/>
        </w:trPr>
        <w:tc>
          <w:tcPr>
            <w:tcW w:w="7700" w:type="dxa"/>
            <w:shd w:val="clear" w:color="auto" w:fill="auto"/>
            <w:noWrap/>
            <w:vAlign w:val="center"/>
          </w:tcPr>
          <w:p w14:paraId="5C0C0B21" w14:textId="69258918" w:rsidR="00DA7C32" w:rsidRPr="00BA71F4" w:rsidRDefault="00DA7C32" w:rsidP="00686C55">
            <w:pPr>
              <w:pStyle w:val="Listaszerbekezds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db </w:t>
            </w:r>
            <w:r w:rsidRPr="00DA7C32">
              <w:rPr>
                <w:rFonts w:ascii="Times New Roman" w:hAnsi="Times New Roman"/>
                <w:color w:val="000000"/>
              </w:rPr>
              <w:t>Grafikai szoftver</w:t>
            </w:r>
          </w:p>
        </w:tc>
      </w:tr>
    </w:tbl>
    <w:p w14:paraId="514A18F4" w14:textId="77777777" w:rsidR="00802314" w:rsidRPr="00401DE0" w:rsidRDefault="00802314" w:rsidP="00802314">
      <w:pPr>
        <w:pBdr>
          <w:top w:val="single" w:sz="4" w:space="0" w:color="1F497D" w:themeColor="text2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/>
        <w:jc w:val="both"/>
        <w:outlineLvl w:val="1"/>
        <w:rPr>
          <w:rFonts w:ascii="Palatino Linotype" w:eastAsia="MS Mincho" w:hAnsi="Palatino Linotype"/>
          <w:caps/>
          <w:color w:val="243F60"/>
          <w:spacing w:val="15"/>
        </w:rPr>
      </w:pPr>
      <w:r w:rsidRPr="00401DE0">
        <w:rPr>
          <w:rFonts w:ascii="Palatino Linotype" w:eastAsia="MS Mincho" w:hAnsi="Palatino Linotype"/>
          <w:caps/>
          <w:color w:val="243F60"/>
          <w:spacing w:val="15"/>
        </w:rPr>
        <w:t xml:space="preserve">A közbeszerzési szakértőtől elvárt feladatok </w:t>
      </w:r>
    </w:p>
    <w:p w14:paraId="22AC264E" w14:textId="5DDEC43B" w:rsidR="00802314" w:rsidRPr="00195462" w:rsidRDefault="0009007A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>
        <w:rPr>
          <w:rFonts w:ascii="Palatino Linotype" w:hAnsi="Palatino Linotype"/>
          <w:bCs/>
          <w:color w:val="000000" w:themeColor="text1"/>
        </w:rPr>
        <w:t xml:space="preserve">A </w:t>
      </w:r>
      <w:r w:rsidR="00802314" w:rsidRPr="00195462">
        <w:rPr>
          <w:rFonts w:ascii="Palatino Linotype" w:hAnsi="Palatino Linotype"/>
          <w:bCs/>
          <w:color w:val="000000" w:themeColor="text1"/>
        </w:rPr>
        <w:t xml:space="preserve">projektben megvalósítandó </w:t>
      </w:r>
      <w:r w:rsidR="00BB0CFB">
        <w:rPr>
          <w:rFonts w:ascii="Palatino Linotype" w:hAnsi="Palatino Linotype"/>
          <w:bCs/>
          <w:color w:val="000000" w:themeColor="text1"/>
        </w:rPr>
        <w:t>informatikai beszerzés</w:t>
      </w:r>
      <w:r>
        <w:rPr>
          <w:rFonts w:ascii="Palatino Linotype" w:hAnsi="Palatino Linotype"/>
          <w:bCs/>
          <w:color w:val="000000" w:themeColor="text1"/>
        </w:rPr>
        <w:t xml:space="preserve"> </w:t>
      </w:r>
      <w:r w:rsidR="00802314" w:rsidRPr="00195462">
        <w:rPr>
          <w:rFonts w:ascii="Palatino Linotype" w:hAnsi="Palatino Linotype"/>
          <w:bCs/>
          <w:color w:val="000000" w:themeColor="text1"/>
        </w:rPr>
        <w:t xml:space="preserve">érdekében </w:t>
      </w:r>
      <w:r w:rsidR="001779FE">
        <w:rPr>
          <w:rFonts w:ascii="Palatino Linotype" w:hAnsi="Palatino Linotype"/>
          <w:bCs/>
          <w:color w:val="000000" w:themeColor="text1"/>
        </w:rPr>
        <w:t>az alábbi feladatokat várja el a szolgáltatótól</w:t>
      </w:r>
      <w:r w:rsidR="00802314" w:rsidRPr="00195462">
        <w:rPr>
          <w:rFonts w:ascii="Palatino Linotype" w:hAnsi="Palatino Linotype"/>
          <w:bCs/>
          <w:color w:val="000000" w:themeColor="text1"/>
        </w:rPr>
        <w:t xml:space="preserve">: </w:t>
      </w:r>
    </w:p>
    <w:p w14:paraId="414633C3" w14:textId="796AC061" w:rsidR="00F63D03" w:rsidRDefault="00F63D03" w:rsidP="00F63D03">
      <w:pPr>
        <w:spacing w:before="120" w:after="120"/>
        <w:jc w:val="both"/>
        <w:rPr>
          <w:rFonts w:ascii="Palatino Linotype" w:hAnsi="Palatino Linotype"/>
          <w:b/>
          <w:color w:val="000000" w:themeColor="text1"/>
        </w:rPr>
      </w:pPr>
      <w:r w:rsidRPr="00F63D03">
        <w:rPr>
          <w:rFonts w:ascii="Palatino Linotype" w:hAnsi="Palatino Linotype"/>
          <w:b/>
          <w:color w:val="000000" w:themeColor="text1"/>
        </w:rPr>
        <w:t xml:space="preserve">A kiemelt projektje keretében </w:t>
      </w:r>
      <w:r w:rsidR="00686C55">
        <w:rPr>
          <w:rFonts w:ascii="Palatino Linotype" w:hAnsi="Palatino Linotype"/>
          <w:b/>
          <w:color w:val="000000" w:themeColor="text1"/>
        </w:rPr>
        <w:t xml:space="preserve">1 db </w:t>
      </w:r>
      <w:r w:rsidRPr="00F63D03">
        <w:rPr>
          <w:rFonts w:ascii="Palatino Linotype" w:hAnsi="Palatino Linotype"/>
          <w:b/>
          <w:color w:val="000000" w:themeColor="text1"/>
        </w:rPr>
        <w:t>közbeszerzési eljárás</w:t>
      </w:r>
      <w:r w:rsidR="001779FE">
        <w:rPr>
          <w:rFonts w:ascii="Palatino Linotype" w:hAnsi="Palatino Linotype"/>
          <w:b/>
          <w:color w:val="000000" w:themeColor="text1"/>
        </w:rPr>
        <w:t>ok lefolytatását tervezi:</w:t>
      </w:r>
    </w:p>
    <w:p w14:paraId="560EFA58" w14:textId="5D1FF27A" w:rsidR="00F63D03" w:rsidRPr="003369CD" w:rsidRDefault="00F63D03" w:rsidP="00F63D03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857190">
        <w:rPr>
          <w:rFonts w:ascii="Palatino Linotype" w:hAnsi="Palatino Linotype"/>
          <w:bCs/>
          <w:color w:val="000000" w:themeColor="text1"/>
        </w:rPr>
        <w:t xml:space="preserve">A </w:t>
      </w:r>
      <w:proofErr w:type="spellStart"/>
      <w:r w:rsidRPr="00857190">
        <w:rPr>
          <w:rFonts w:ascii="Palatino Linotype" w:hAnsi="Palatino Linotype"/>
          <w:bCs/>
          <w:color w:val="000000" w:themeColor="text1"/>
        </w:rPr>
        <w:t>Kbt</w:t>
      </w:r>
      <w:proofErr w:type="spellEnd"/>
      <w:r w:rsidRPr="00857190">
        <w:rPr>
          <w:rFonts w:ascii="Palatino Linotype" w:hAnsi="Palatino Linotype"/>
          <w:bCs/>
          <w:color w:val="000000" w:themeColor="text1"/>
        </w:rPr>
        <w:t xml:space="preserve"> 112.§ (1) </w:t>
      </w:r>
      <w:proofErr w:type="spellStart"/>
      <w:r w:rsidRPr="000A2220">
        <w:rPr>
          <w:rFonts w:ascii="Palatino Linotype" w:hAnsi="Palatino Linotype"/>
          <w:bCs/>
          <w:color w:val="000000" w:themeColor="text1"/>
        </w:rPr>
        <w:t>bek</w:t>
      </w:r>
      <w:proofErr w:type="spellEnd"/>
      <w:r w:rsidRPr="000A2220">
        <w:rPr>
          <w:rFonts w:ascii="Palatino Linotype" w:hAnsi="Palatino Linotype"/>
          <w:bCs/>
          <w:color w:val="000000" w:themeColor="text1"/>
        </w:rPr>
        <w:t xml:space="preserve">. </w:t>
      </w:r>
      <w:r w:rsidR="00857190" w:rsidRPr="000A2220">
        <w:rPr>
          <w:rFonts w:ascii="Palatino Linotype" w:hAnsi="Palatino Linotype"/>
          <w:bCs/>
          <w:color w:val="000000" w:themeColor="text1"/>
        </w:rPr>
        <w:t>a</w:t>
      </w:r>
      <w:r w:rsidRPr="000A2220">
        <w:rPr>
          <w:rFonts w:ascii="Palatino Linotype" w:hAnsi="Palatino Linotype"/>
          <w:bCs/>
          <w:color w:val="000000" w:themeColor="text1"/>
        </w:rPr>
        <w:t>) pontja</w:t>
      </w:r>
      <w:r w:rsidRPr="00857190">
        <w:rPr>
          <w:rFonts w:ascii="Palatino Linotype" w:hAnsi="Palatino Linotype"/>
          <w:bCs/>
          <w:color w:val="000000" w:themeColor="text1"/>
        </w:rPr>
        <w:t xml:space="preserve"> szerinti nyílt közbeszerzési eljárás</w:t>
      </w:r>
      <w:r w:rsidRPr="003369CD">
        <w:rPr>
          <w:rFonts w:ascii="Palatino Linotype" w:hAnsi="Palatino Linotype"/>
          <w:bCs/>
          <w:color w:val="000000" w:themeColor="text1"/>
        </w:rPr>
        <w:t xml:space="preserve"> keretében </w:t>
      </w:r>
      <w:r w:rsidR="00E724C5">
        <w:rPr>
          <w:rFonts w:ascii="Palatino Linotype" w:hAnsi="Palatino Linotype"/>
          <w:b/>
          <w:color w:val="000000" w:themeColor="text1"/>
        </w:rPr>
        <w:t xml:space="preserve">informatikai eszközök és programok </w:t>
      </w:r>
      <w:r w:rsidRPr="003369CD">
        <w:rPr>
          <w:rFonts w:ascii="Palatino Linotype" w:hAnsi="Palatino Linotype"/>
          <w:bCs/>
          <w:color w:val="000000" w:themeColor="text1"/>
        </w:rPr>
        <w:t>beszerzése</w:t>
      </w:r>
      <w:r w:rsidR="00A37D13">
        <w:rPr>
          <w:rFonts w:ascii="Palatino Linotype" w:hAnsi="Palatino Linotype"/>
          <w:bCs/>
          <w:color w:val="000000" w:themeColor="text1"/>
        </w:rPr>
        <w:t xml:space="preserve">, </w:t>
      </w:r>
      <w:r w:rsidR="00A37D13" w:rsidRPr="009853E6">
        <w:rPr>
          <w:rFonts w:ascii="Palatino Linotype" w:hAnsi="Palatino Linotype"/>
          <w:bCs/>
          <w:color w:val="000000" w:themeColor="text1"/>
        </w:rPr>
        <w:t>részajánlattételi lehetőséggel</w:t>
      </w:r>
      <w:r w:rsidRPr="009853E6">
        <w:rPr>
          <w:rFonts w:ascii="Palatino Linotype" w:hAnsi="Palatino Linotype"/>
          <w:bCs/>
          <w:color w:val="000000" w:themeColor="text1"/>
        </w:rPr>
        <w:t>.</w:t>
      </w:r>
    </w:p>
    <w:p w14:paraId="17A6D9F0" w14:textId="5BBB9360" w:rsidR="00F63D03" w:rsidRPr="007F69D5" w:rsidRDefault="00F63D03" w:rsidP="00F63D03">
      <w:pPr>
        <w:spacing w:before="120" w:after="120"/>
        <w:jc w:val="both"/>
        <w:rPr>
          <w:rFonts w:ascii="Palatino Linotype" w:hAnsi="Palatino Linotype"/>
          <w:bCs/>
        </w:rPr>
      </w:pPr>
      <w:r w:rsidRPr="003369CD">
        <w:rPr>
          <w:rFonts w:ascii="Palatino Linotype" w:hAnsi="Palatino Linotype"/>
          <w:bCs/>
          <w:color w:val="000000" w:themeColor="text1"/>
        </w:rPr>
        <w:t xml:space="preserve">Ajánlatkérő előzetesen a nemzeti értékhatárt elérő értékű nyílt közbeszerzési eljárásnál feltüntetett eljárás tekintetében kívánja megvalósítani, azonban a megfelelő eljárásrend és eljárásfajta </w:t>
      </w:r>
      <w:r w:rsidRPr="007F69D5">
        <w:rPr>
          <w:rFonts w:ascii="Palatino Linotype" w:hAnsi="Palatino Linotype"/>
          <w:bCs/>
        </w:rPr>
        <w:t>meghatározása az Ajánlattevő feladatát képezi</w:t>
      </w:r>
      <w:r w:rsidR="009C6CEA" w:rsidRPr="007F69D5">
        <w:rPr>
          <w:rFonts w:ascii="Palatino Linotype" w:hAnsi="Palatino Linotype"/>
          <w:bCs/>
        </w:rPr>
        <w:t xml:space="preserve"> a mellékelt tervezett informatikai beszerzéseket tartalmazó </w:t>
      </w:r>
      <w:proofErr w:type="spellStart"/>
      <w:r w:rsidR="009C6CEA" w:rsidRPr="007F69D5">
        <w:rPr>
          <w:rFonts w:ascii="Palatino Linotype" w:hAnsi="Palatino Linotype"/>
          <w:bCs/>
        </w:rPr>
        <w:t>excel</w:t>
      </w:r>
      <w:proofErr w:type="spellEnd"/>
      <w:r w:rsidR="009C6CEA" w:rsidRPr="007F69D5">
        <w:rPr>
          <w:rFonts w:ascii="Palatino Linotype" w:hAnsi="Palatino Linotype"/>
          <w:bCs/>
        </w:rPr>
        <w:t xml:space="preserve"> alapján</w:t>
      </w:r>
      <w:r w:rsidRPr="007F69D5">
        <w:rPr>
          <w:rFonts w:ascii="Palatino Linotype" w:hAnsi="Palatino Linotype"/>
          <w:bCs/>
        </w:rPr>
        <w:t>.</w:t>
      </w:r>
    </w:p>
    <w:p w14:paraId="2F3AEB9A" w14:textId="77777777" w:rsidR="001779FE" w:rsidRPr="00F63D03" w:rsidRDefault="001779FE" w:rsidP="00F63D03">
      <w:pPr>
        <w:spacing w:before="120" w:after="120"/>
        <w:jc w:val="both"/>
        <w:rPr>
          <w:rFonts w:ascii="Palatino Linotype" w:hAnsi="Palatino Linotype"/>
          <w:b/>
          <w:color w:val="000000" w:themeColor="text1"/>
        </w:rPr>
      </w:pPr>
    </w:p>
    <w:p w14:paraId="6AAF9F8F" w14:textId="77777777" w:rsidR="00E26DA4" w:rsidRDefault="00E26DA4" w:rsidP="00195462">
      <w:pPr>
        <w:spacing w:before="120" w:after="120"/>
        <w:jc w:val="both"/>
        <w:rPr>
          <w:rFonts w:ascii="Palatino Linotype" w:hAnsi="Palatino Linotype"/>
          <w:b/>
          <w:color w:val="000000" w:themeColor="text1"/>
        </w:rPr>
      </w:pPr>
    </w:p>
    <w:p w14:paraId="026D3350" w14:textId="395E1DF2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/>
          <w:color w:val="000000" w:themeColor="text1"/>
        </w:rPr>
      </w:pPr>
      <w:r w:rsidRPr="00195462">
        <w:rPr>
          <w:rFonts w:ascii="Palatino Linotype" w:hAnsi="Palatino Linotype"/>
          <w:b/>
          <w:color w:val="000000" w:themeColor="text1"/>
        </w:rPr>
        <w:lastRenderedPageBreak/>
        <w:t>A közbeszerzési eljárások lebonyolítása keretében elvégzendő feladatok:</w:t>
      </w:r>
    </w:p>
    <w:p w14:paraId="325638AA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közbeszerzési eljárások teljes körű lefolytatása, közbeszerzési tanácsadás és a 257/2018. (XII. 18.) Korm. rendelet szerinti felelős akkreditált közbeszerzési szaktanácsadói tevékenység ellátása;</w:t>
      </w:r>
    </w:p>
    <w:p w14:paraId="30C898DE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személyes konzultáció és szoros együttműködés a Megbízóval, közreműködés és tanácskozási joggal történő részvétel a Bíráló Bizottsági ülésen, az ülésekről jegyzőkönyv készítése;</w:t>
      </w:r>
    </w:p>
    <w:p w14:paraId="1A9D5597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közreműködés a Bíráló Bizottság tagjaira vonatkozó dokumentumok és összeférhetetlenségi és titoktartási nyilatkozatok elkészítésében;</w:t>
      </w:r>
    </w:p>
    <w:p w14:paraId="20E94CA3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javaslattétel és szakmai tanácsadás az eljárásrend és eljárásfajta alkalmazására, valamint bírálati szempontrendszer megválasztására vonatkozóan;</w:t>
      </w:r>
    </w:p>
    <w:p w14:paraId="312DC755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eljárást megindító felhívás tervezet és az azt kiegészítő közbeszerzési dokumentumok tervezetének elkészítése a műszaki-szakmai leírás és az ahhoz kapcsolódó dokumentumok kivételével (a műszaki tartalom összeállítása a Megbízó feladata);</w:t>
      </w:r>
    </w:p>
    <w:p w14:paraId="4444D19C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ajánlatok értékelési szempontjainak (részszempontok, alapszempontok, súlyszámok, ponthatárok és módszerek) összeállítása a Bíráló Bizottság javaslata alapján;</w:t>
      </w:r>
    </w:p>
    <w:p w14:paraId="1F2A1D53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 közbeszerzési dokumentumok részét képező szerződéstervezet elkészítése;</w:t>
      </w:r>
    </w:p>
    <w:p w14:paraId="2DB3AFDA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eljárást megindító felhívás és az azt kiegészítő közbeszerzési dokumentumok egyeztetése a Megbízóval;</w:t>
      </w:r>
    </w:p>
    <w:p w14:paraId="616E0899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 közbeszerzési eljárásokkal kapcsolatos hirdetmény feladása, illetve az ezzel kapcsolatban felmerülő feladatok ellátása;</w:t>
      </w:r>
    </w:p>
    <w:p w14:paraId="554CBD95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közbeszerzési eljárásban felmerült ajánlattevői kérdések (kiegészítő tájékoztatás) megválaszolása a megbízó bevonásával a műszaki tartalmat érintő kérdések kivételével;</w:t>
      </w:r>
    </w:p>
    <w:p w14:paraId="7C11DB76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észrevétel/</w:t>
      </w:r>
      <w:proofErr w:type="spellStart"/>
      <w:r w:rsidRPr="00195462">
        <w:rPr>
          <w:rFonts w:ascii="Palatino Linotype" w:hAnsi="Palatino Linotype"/>
          <w:bCs/>
          <w:color w:val="000000" w:themeColor="text1"/>
        </w:rPr>
        <w:t>ek</w:t>
      </w:r>
      <w:proofErr w:type="spellEnd"/>
      <w:r w:rsidRPr="00195462">
        <w:rPr>
          <w:rFonts w:ascii="Palatino Linotype" w:hAnsi="Palatino Linotype"/>
          <w:bCs/>
          <w:color w:val="000000" w:themeColor="text1"/>
        </w:rPr>
        <w:t xml:space="preserve"> megtétele a beérkezett ajánlatok bontásán;</w:t>
      </w:r>
    </w:p>
    <w:p w14:paraId="541D3201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bontási eljárásról szóló jegyzőkönyv elkészítése és kiküldése;</w:t>
      </w:r>
    </w:p>
    <w:p w14:paraId="7F143F2E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ajánlatok közbeszerzési szempontú bírálata és értékelése, a felmerülő eljárási cselekményekhez kapcsolódó dokumentumok elkészítése, kiküldése;</w:t>
      </w:r>
    </w:p>
    <w:p w14:paraId="46C8BA5A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ajánlatok hiánypótlására történő felhívások, felvilágosítás kérések, illetve aránytalanul alacsony ár és egyéb aránytalan vállalások tisztázása érdekében indokolás megküldése az ajánlattevőknek;</w:t>
      </w:r>
    </w:p>
    <w:p w14:paraId="1DA1E53D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ajánlatok bírálatáról szóló dokumentumok (bírálati lapok, bíráló bizottsági üléséről szóló jegyzőkönyv) elkészítése;</w:t>
      </w:r>
    </w:p>
    <w:p w14:paraId="66E42721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 döntéshozó elé terjesztendő dokumentumok (döntési javaslat, összegezés) elkészítése és jóváhagyást követően megküldése az ajánlattevőknek;</w:t>
      </w:r>
    </w:p>
    <w:p w14:paraId="59BE1240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eljárás eredményéről tájékoztató elkészítése és közzététele;</w:t>
      </w:r>
    </w:p>
    <w:p w14:paraId="6BCF055A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eljárás eredményeként megkötött szerződés közzététele;</w:t>
      </w:r>
    </w:p>
    <w:p w14:paraId="000D4150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 hatályos Kbt.-ben meghatározott egyéb dokumentumok és információk közzététele;</w:t>
      </w:r>
    </w:p>
    <w:p w14:paraId="178F5808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az eljárás teljes dokumentációjának átadása a Megbízó részére egy eredeti papír alapú, és egy példányú elektronikus adathordozón;</w:t>
      </w:r>
    </w:p>
    <w:p w14:paraId="7130E6B3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lastRenderedPageBreak/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minden egyéb közbeszerzési eljárás lebonyolításához szükséges közbeszerzési tanácsadói tevékenység;</w:t>
      </w:r>
    </w:p>
    <w:p w14:paraId="7C0F4692" w14:textId="77777777" w:rsidR="00195462" w:rsidRPr="00195462" w:rsidRDefault="00195462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  <w:r w:rsidRPr="00195462">
        <w:rPr>
          <w:rFonts w:ascii="Palatino Linotype" w:hAnsi="Palatino Linotype"/>
          <w:bCs/>
          <w:color w:val="000000" w:themeColor="text1"/>
        </w:rPr>
        <w:t>•</w:t>
      </w:r>
      <w:r w:rsidRPr="00195462">
        <w:rPr>
          <w:rFonts w:ascii="Palatino Linotype" w:hAnsi="Palatino Linotype"/>
          <w:bCs/>
          <w:color w:val="000000" w:themeColor="text1"/>
        </w:rPr>
        <w:tab/>
        <w:t>a közbeszerzési dokumentumok teljes körű, korlátlan elektronikus úton való hozzáférhetővé tétele a gazdasági szereplők részére;</w:t>
      </w:r>
    </w:p>
    <w:p w14:paraId="052E5B08" w14:textId="77777777" w:rsidR="007F69D5" w:rsidRDefault="00195462" w:rsidP="00195462">
      <w:pPr>
        <w:spacing w:before="120" w:after="120"/>
        <w:jc w:val="both"/>
        <w:rPr>
          <w:rFonts w:ascii="Palatino Linotype" w:hAnsi="Palatino Linotype"/>
          <w:bCs/>
        </w:rPr>
      </w:pPr>
      <w:r w:rsidRPr="007F69D5">
        <w:rPr>
          <w:rFonts w:ascii="Palatino Linotype" w:hAnsi="Palatino Linotype"/>
          <w:bCs/>
        </w:rPr>
        <w:t>•</w:t>
      </w:r>
      <w:r w:rsidRPr="007F69D5">
        <w:rPr>
          <w:rFonts w:ascii="Palatino Linotype" w:hAnsi="Palatino Linotype"/>
          <w:bCs/>
        </w:rPr>
        <w:tab/>
        <w:t>a közbeszerzési eljárás teljes körű dokumentálása, a Közbeszerzési adatbázis és a</w:t>
      </w:r>
      <w:r w:rsidR="009C6CEA" w:rsidRPr="007F69D5">
        <w:rPr>
          <w:rFonts w:ascii="Palatino Linotype" w:hAnsi="Palatino Linotype"/>
          <w:bCs/>
        </w:rPr>
        <w:t xml:space="preserve"> Svájci alap Közreműködő Szervezete (Széchenyi Programiroda</w:t>
      </w:r>
      <w:r w:rsidR="00DA7C32" w:rsidRPr="007F69D5">
        <w:rPr>
          <w:rFonts w:ascii="Palatino Linotype" w:hAnsi="Palatino Linotype"/>
          <w:bCs/>
        </w:rPr>
        <w:t>, KSZ</w:t>
      </w:r>
      <w:r w:rsidR="009C6CEA" w:rsidRPr="007F69D5">
        <w:rPr>
          <w:rFonts w:ascii="Palatino Linotype" w:hAnsi="Palatino Linotype"/>
          <w:bCs/>
        </w:rPr>
        <w:t>) által meghatározott</w:t>
      </w:r>
      <w:r w:rsidRPr="007F69D5">
        <w:rPr>
          <w:rFonts w:ascii="Palatino Linotype" w:hAnsi="Palatino Linotype"/>
          <w:bCs/>
        </w:rPr>
        <w:t xml:space="preserve"> </w:t>
      </w:r>
      <w:r w:rsidR="00BB0CFB" w:rsidRPr="007F69D5">
        <w:rPr>
          <w:rFonts w:ascii="Palatino Linotype" w:hAnsi="Palatino Linotype"/>
          <w:bCs/>
        </w:rPr>
        <w:t xml:space="preserve">elektronikus </w:t>
      </w:r>
      <w:r w:rsidRPr="007F69D5">
        <w:rPr>
          <w:rFonts w:ascii="Palatino Linotype" w:hAnsi="Palatino Linotype"/>
          <w:bCs/>
        </w:rPr>
        <w:t xml:space="preserve">rendszerbe történő feltöltése </w:t>
      </w:r>
      <w:r w:rsidR="00BB0CFB" w:rsidRPr="007F69D5">
        <w:rPr>
          <w:rFonts w:ascii="Palatino Linotype" w:hAnsi="Palatino Linotype"/>
          <w:bCs/>
        </w:rPr>
        <w:t xml:space="preserve">eljárási határidőn </w:t>
      </w:r>
      <w:r w:rsidRPr="007F69D5">
        <w:rPr>
          <w:rFonts w:ascii="Palatino Linotype" w:hAnsi="Palatino Linotype"/>
          <w:bCs/>
        </w:rPr>
        <w:t>belül</w:t>
      </w:r>
      <w:r w:rsidR="00A80CD2" w:rsidRPr="007F69D5">
        <w:rPr>
          <w:rFonts w:ascii="Palatino Linotype" w:hAnsi="Palatino Linotype"/>
          <w:bCs/>
        </w:rPr>
        <w:t xml:space="preserve"> </w:t>
      </w:r>
      <w:r w:rsidR="009C6CEA" w:rsidRPr="007F69D5">
        <w:rPr>
          <w:rFonts w:ascii="Palatino Linotype" w:hAnsi="Palatino Linotype"/>
          <w:bCs/>
        </w:rPr>
        <w:t xml:space="preserve">(az ezzel kapcsolatos eljárás a </w:t>
      </w:r>
      <w:hyperlink r:id="rId11" w:history="1">
        <w:r w:rsidR="009C6CEA" w:rsidRPr="007F69D5">
          <w:rPr>
            <w:rStyle w:val="Hiperhivatkozs"/>
            <w:rFonts w:ascii="Palatino Linotype" w:hAnsi="Palatino Linotype"/>
            <w:bCs/>
            <w:color w:val="auto"/>
          </w:rPr>
          <w:t>https://svajcialap.hu/dokumentumok/altalanos/</w:t>
        </w:r>
      </w:hyperlink>
      <w:r w:rsidR="009C6CEA" w:rsidRPr="007F69D5">
        <w:rPr>
          <w:rFonts w:ascii="Palatino Linotype" w:hAnsi="Palatino Linotype"/>
          <w:bCs/>
        </w:rPr>
        <w:t xml:space="preserve"> Végrehajtási Útmutató 3. számú melléklete tartalmazza) </w:t>
      </w:r>
      <w:r w:rsidR="00A80CD2" w:rsidRPr="007F69D5">
        <w:rPr>
          <w:rFonts w:ascii="Palatino Linotype" w:hAnsi="Palatino Linotype"/>
          <w:bCs/>
        </w:rPr>
        <w:t>és az ezzel kapcsolatos hiánypótlási feladatok</w:t>
      </w:r>
      <w:r w:rsidRPr="007F69D5">
        <w:rPr>
          <w:rFonts w:ascii="Palatino Linotype" w:hAnsi="Palatino Linotype"/>
          <w:bCs/>
        </w:rPr>
        <w:t>;</w:t>
      </w:r>
      <w:r w:rsidR="007F69D5">
        <w:rPr>
          <w:rFonts w:ascii="Palatino Linotype" w:hAnsi="Palatino Linotype"/>
          <w:bCs/>
        </w:rPr>
        <w:t xml:space="preserve"> </w:t>
      </w:r>
    </w:p>
    <w:p w14:paraId="71134C3E" w14:textId="271AE9BB" w:rsidR="00195462" w:rsidRPr="00E26DA4" w:rsidRDefault="007F69D5" w:rsidP="00195462">
      <w:pPr>
        <w:spacing w:before="120" w:after="120"/>
        <w:jc w:val="both"/>
        <w:rPr>
          <w:rFonts w:ascii="Palatino Linotype" w:hAnsi="Palatino Linotype"/>
          <w:b/>
        </w:rPr>
      </w:pPr>
      <w:r w:rsidRPr="00E26DA4">
        <w:rPr>
          <w:rFonts w:ascii="Palatino Linotype" w:hAnsi="Palatino Linotype"/>
          <w:b/>
        </w:rPr>
        <w:t>A közbeszerzés eljárás ellenőrzése során az alábbi lehetőségek merülhetnek fel</w:t>
      </w:r>
      <w:r w:rsidR="004F7A7D" w:rsidRPr="00E26DA4">
        <w:rPr>
          <w:rFonts w:ascii="Palatino Linotype" w:hAnsi="Palatino Linotype"/>
          <w:b/>
        </w:rPr>
        <w:t>:</w:t>
      </w:r>
    </w:p>
    <w:p w14:paraId="3E272C7F" w14:textId="683D7508" w:rsidR="007F69D5" w:rsidRPr="00E26DA4" w:rsidRDefault="007F69D5" w:rsidP="007F69D5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27"/>
        <w:jc w:val="both"/>
        <w:rPr>
          <w:rFonts w:ascii="Book Antiqua" w:eastAsiaTheme="minorHAnsi" w:hAnsi="Book Antiqua" w:cs="Book Antiqua"/>
          <w:sz w:val="23"/>
          <w:szCs w:val="23"/>
        </w:rPr>
      </w:pPr>
      <w:r w:rsidRPr="00E26DA4">
        <w:rPr>
          <w:rFonts w:ascii="Book Antiqua" w:eastAsiaTheme="minorHAnsi" w:hAnsi="Book Antiqua" w:cs="Book Antiqua"/>
          <w:sz w:val="23"/>
          <w:szCs w:val="23"/>
        </w:rPr>
        <w:t xml:space="preserve">Az uniós értékhatárt - illetve a 207.100.000, - HUF (500.000 CHF) összeget - elérő vagy meghaladó becsült értékű közbeszerzések esetében benyújtja a közreműködő szervezethez a közbeszerzési eljárás dokumentumait előzetes ellenőrzésre a közbeszerzési eljárás megindítását, majd az eredményhirdetést megelőzően (folyamatba épített ellenőrzés) </w:t>
      </w:r>
    </w:p>
    <w:p w14:paraId="7FE2C88B" w14:textId="5D9F86FE" w:rsidR="007F69D5" w:rsidRPr="00E26DA4" w:rsidRDefault="007F69D5" w:rsidP="007F69D5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 Antiqua"/>
          <w:sz w:val="23"/>
          <w:szCs w:val="23"/>
        </w:rPr>
      </w:pPr>
      <w:r w:rsidRPr="00E26DA4">
        <w:rPr>
          <w:rFonts w:ascii="Book Antiqua" w:eastAsiaTheme="minorHAnsi" w:hAnsi="Book Antiqua" w:cs="Book Antiqua"/>
          <w:sz w:val="23"/>
          <w:szCs w:val="23"/>
        </w:rPr>
        <w:t xml:space="preserve">Az uniós értékhatárt el nem érő közbeszerzések tekintetében az előző pontban meghatározott kivétel figyelembevételével - a közbeszerzés eredményének kihirdetését megelőzően benyújtja a közreműködő szervezethez a közbeszerzési eljárás dokumentumait. </w:t>
      </w:r>
    </w:p>
    <w:p w14:paraId="664786A3" w14:textId="1B47FD84" w:rsidR="007F69D5" w:rsidRPr="00E26DA4" w:rsidRDefault="007F69D5" w:rsidP="007F69D5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 Antiqua"/>
          <w:sz w:val="23"/>
          <w:szCs w:val="23"/>
        </w:rPr>
      </w:pPr>
      <w:r w:rsidRPr="00E26DA4">
        <w:rPr>
          <w:rFonts w:ascii="Book Antiqua" w:eastAsiaTheme="minorHAnsi" w:hAnsi="Book Antiqua" w:cs="Book Antiqua"/>
          <w:sz w:val="23"/>
          <w:szCs w:val="23"/>
        </w:rPr>
        <w:t>A Svájci Államszövetség az előirányzott közbeszerzések közül kiválasztja azokat a beszerzéseket, amelyek esetében előzetes ellenőrzést gyakorol a közbeszerzési eljárás megindítása előtt. Ezeket a közbeszerzési eljárásokat mind a közreműködő szervezet, mind a svájci hatóságok ellenőrzik előzetesen az eljárás megindítása előtt.</w:t>
      </w:r>
    </w:p>
    <w:p w14:paraId="0C60D472" w14:textId="2865CBC8" w:rsidR="00195462" w:rsidRPr="00DA7C32" w:rsidRDefault="00195462" w:rsidP="00DA7C32">
      <w:pPr>
        <w:spacing w:before="120" w:after="120"/>
        <w:jc w:val="both"/>
        <w:rPr>
          <w:rFonts w:ascii="Palatino Linotype" w:hAnsi="Palatino Linotype"/>
          <w:bCs/>
        </w:rPr>
      </w:pPr>
      <w:r w:rsidRPr="00DA7C32">
        <w:rPr>
          <w:rFonts w:ascii="Palatino Linotype" w:hAnsi="Palatino Linotype"/>
          <w:bCs/>
        </w:rPr>
        <w:t>•</w:t>
      </w:r>
      <w:r w:rsidRPr="00DA7C32">
        <w:rPr>
          <w:rFonts w:ascii="Palatino Linotype" w:hAnsi="Palatino Linotype"/>
          <w:bCs/>
        </w:rPr>
        <w:tab/>
        <w:t>esetleges jogorvoslat esetén teljes körű képviselet a Közbeszerzési Döntőbizottság előtt;</w:t>
      </w:r>
    </w:p>
    <w:p w14:paraId="79C2DEDF" w14:textId="4825AF31" w:rsidR="00091CD2" w:rsidRPr="00CB522E" w:rsidRDefault="00195462" w:rsidP="00195462">
      <w:pPr>
        <w:spacing w:before="120" w:after="120"/>
        <w:jc w:val="both"/>
        <w:rPr>
          <w:rFonts w:ascii="Palatino Linotype" w:hAnsi="Palatino Linotype"/>
          <w:bCs/>
        </w:rPr>
      </w:pPr>
      <w:r w:rsidRPr="00CB522E">
        <w:rPr>
          <w:rFonts w:ascii="Palatino Linotype" w:hAnsi="Palatino Linotype"/>
          <w:bCs/>
        </w:rPr>
        <w:t>•</w:t>
      </w:r>
      <w:r w:rsidRPr="00CB522E">
        <w:rPr>
          <w:rFonts w:ascii="Palatino Linotype" w:hAnsi="Palatino Linotype"/>
          <w:bCs/>
        </w:rPr>
        <w:tab/>
        <w:t>az eljárások jogszerűségének felügyelete</w:t>
      </w:r>
      <w:r w:rsidR="000F60CC">
        <w:rPr>
          <w:rFonts w:ascii="Palatino Linotype" w:hAnsi="Palatino Linotype"/>
          <w:bCs/>
        </w:rPr>
        <w:t>.</w:t>
      </w:r>
    </w:p>
    <w:p w14:paraId="752B05CC" w14:textId="77777777" w:rsidR="00E5226E" w:rsidRPr="00CB522E" w:rsidRDefault="00E5226E" w:rsidP="00091CD2">
      <w:pPr>
        <w:spacing w:before="120" w:after="120"/>
        <w:jc w:val="both"/>
        <w:rPr>
          <w:rFonts w:ascii="Palatino Linotype" w:hAnsi="Palatino Linotype"/>
          <w:bCs/>
        </w:rPr>
      </w:pPr>
    </w:p>
    <w:p w14:paraId="0E8A4C76" w14:textId="77777777" w:rsidR="00195462" w:rsidRPr="00CB522E" w:rsidRDefault="00195462" w:rsidP="00195462">
      <w:pPr>
        <w:spacing w:before="120" w:after="120"/>
        <w:jc w:val="both"/>
        <w:rPr>
          <w:rFonts w:ascii="Palatino Linotype" w:hAnsi="Palatino Linotype"/>
          <w:b/>
        </w:rPr>
      </w:pPr>
      <w:r w:rsidRPr="00CB522E">
        <w:rPr>
          <w:rFonts w:ascii="Palatino Linotype" w:hAnsi="Palatino Linotype"/>
          <w:b/>
        </w:rPr>
        <w:t>Nem képezi a közbeszerzési eljárások lebonyolítójának feladatát:</w:t>
      </w:r>
    </w:p>
    <w:p w14:paraId="6AA40D54" w14:textId="77777777" w:rsidR="00195462" w:rsidRPr="00CB522E" w:rsidRDefault="00195462" w:rsidP="00195462">
      <w:pPr>
        <w:spacing w:before="120" w:after="120"/>
        <w:jc w:val="both"/>
        <w:rPr>
          <w:rFonts w:ascii="Palatino Linotype" w:hAnsi="Palatino Linotype"/>
          <w:bCs/>
        </w:rPr>
      </w:pPr>
      <w:r w:rsidRPr="00CB522E">
        <w:rPr>
          <w:rFonts w:ascii="Palatino Linotype" w:hAnsi="Palatino Linotype"/>
          <w:bCs/>
        </w:rPr>
        <w:t>•</w:t>
      </w:r>
      <w:r w:rsidRPr="00CB522E">
        <w:rPr>
          <w:rFonts w:ascii="Palatino Linotype" w:hAnsi="Palatino Linotype"/>
          <w:bCs/>
        </w:rPr>
        <w:tab/>
        <w:t>a közbeszerzés műszaki-szakmai tartalmának meghatározása, részletes kidolgozása és rendelkezésre bocsátása az eljárás megindításához;</w:t>
      </w:r>
    </w:p>
    <w:p w14:paraId="32A02DC7" w14:textId="77777777" w:rsidR="00195462" w:rsidRPr="00CB522E" w:rsidRDefault="00195462" w:rsidP="00195462">
      <w:pPr>
        <w:spacing w:before="120" w:after="120"/>
        <w:jc w:val="both"/>
        <w:rPr>
          <w:rFonts w:ascii="Palatino Linotype" w:hAnsi="Palatino Linotype"/>
          <w:bCs/>
        </w:rPr>
      </w:pPr>
      <w:r w:rsidRPr="00CB522E">
        <w:rPr>
          <w:rFonts w:ascii="Palatino Linotype" w:hAnsi="Palatino Linotype"/>
          <w:bCs/>
        </w:rPr>
        <w:t>•</w:t>
      </w:r>
      <w:r w:rsidRPr="00CB522E">
        <w:rPr>
          <w:rFonts w:ascii="Palatino Linotype" w:hAnsi="Palatino Linotype"/>
          <w:bCs/>
        </w:rPr>
        <w:tab/>
        <w:t>összefoglaló tájékoztatás közzétételi díjának, a hirdetmény szerkesztési (közzétételi) díjának megfizetése;</w:t>
      </w:r>
    </w:p>
    <w:p w14:paraId="4608F21A" w14:textId="77777777" w:rsidR="00195462" w:rsidRPr="00CB522E" w:rsidRDefault="00195462" w:rsidP="00195462">
      <w:pPr>
        <w:spacing w:before="120" w:after="120"/>
        <w:jc w:val="both"/>
        <w:rPr>
          <w:rFonts w:ascii="Palatino Linotype" w:hAnsi="Palatino Linotype"/>
          <w:bCs/>
        </w:rPr>
      </w:pPr>
      <w:r w:rsidRPr="00CB522E">
        <w:rPr>
          <w:rFonts w:ascii="Palatino Linotype" w:hAnsi="Palatino Linotype"/>
          <w:bCs/>
        </w:rPr>
        <w:t>•</w:t>
      </w:r>
      <w:r w:rsidRPr="00CB522E">
        <w:rPr>
          <w:rFonts w:ascii="Palatino Linotype" w:hAnsi="Palatino Linotype"/>
          <w:bCs/>
        </w:rPr>
        <w:tab/>
        <w:t>a közbeszerzési eljárás eredményeként létrejött szerződés teljesítésére vonatkozó adatok dokumentálása.</w:t>
      </w:r>
    </w:p>
    <w:p w14:paraId="50B1AE4F" w14:textId="77777777" w:rsidR="00A25DD7" w:rsidRPr="00195462" w:rsidRDefault="00A25DD7" w:rsidP="00195462">
      <w:pPr>
        <w:spacing w:before="120" w:after="120"/>
        <w:jc w:val="both"/>
        <w:rPr>
          <w:rFonts w:ascii="Palatino Linotype" w:hAnsi="Palatino Linotype"/>
          <w:bCs/>
          <w:color w:val="000000" w:themeColor="text1"/>
        </w:rPr>
      </w:pPr>
    </w:p>
    <w:sectPr w:rsidR="00A25DD7" w:rsidRPr="00195462" w:rsidSect="00A4600B">
      <w:headerReference w:type="default" r:id="rId12"/>
      <w:pgSz w:w="11906" w:h="16838"/>
      <w:pgMar w:top="720" w:right="720" w:bottom="851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9F3E" w14:textId="77777777" w:rsidR="001B34B1" w:rsidRDefault="001B34B1" w:rsidP="00EB0C8C">
      <w:r>
        <w:separator/>
      </w:r>
    </w:p>
  </w:endnote>
  <w:endnote w:type="continuationSeparator" w:id="0">
    <w:p w14:paraId="22B19FEE" w14:textId="77777777" w:rsidR="001B34B1" w:rsidRDefault="001B34B1" w:rsidP="00E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F6DE" w14:textId="77777777" w:rsidR="001B34B1" w:rsidRDefault="001B34B1" w:rsidP="00EB0C8C">
      <w:r>
        <w:separator/>
      </w:r>
    </w:p>
  </w:footnote>
  <w:footnote w:type="continuationSeparator" w:id="0">
    <w:p w14:paraId="1FDC0F33" w14:textId="77777777" w:rsidR="001B34B1" w:rsidRDefault="001B34B1" w:rsidP="00EB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386A" w14:textId="53F21625" w:rsidR="00EB0C8C" w:rsidRPr="00EB0C8C" w:rsidRDefault="007B52B2" w:rsidP="00EB0C8C">
    <w:pPr>
      <w:pBdr>
        <w:bottom w:val="single" w:sz="6" w:space="5" w:color="auto"/>
      </w:pBdr>
      <w:spacing w:after="120"/>
      <w:jc w:val="center"/>
      <w:rPr>
        <w:smallCaps/>
        <w:spacing w:val="6"/>
      </w:rPr>
    </w:pPr>
    <w:r w:rsidRPr="004F0D5F">
      <w:t>SM10-MIN-PC2</w:t>
    </w:r>
    <w:r>
      <w:t xml:space="preserve"> </w:t>
    </w:r>
    <w:r w:rsidR="00EB0C8C">
      <w:rPr>
        <w:smallCaps/>
        <w:spacing w:val="6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60F"/>
    <w:multiLevelType w:val="hybridMultilevel"/>
    <w:tmpl w:val="4FEEA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628"/>
    <w:multiLevelType w:val="hybridMultilevel"/>
    <w:tmpl w:val="C602C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114A"/>
    <w:multiLevelType w:val="hybridMultilevel"/>
    <w:tmpl w:val="FFEEF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4E6"/>
    <w:multiLevelType w:val="hybridMultilevel"/>
    <w:tmpl w:val="B99AC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6379"/>
    <w:multiLevelType w:val="hybridMultilevel"/>
    <w:tmpl w:val="44A4C1E4"/>
    <w:lvl w:ilvl="0" w:tplc="08842A6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6237"/>
    <w:multiLevelType w:val="hybridMultilevel"/>
    <w:tmpl w:val="35D6B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1B3E"/>
    <w:multiLevelType w:val="hybridMultilevel"/>
    <w:tmpl w:val="7B4A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7B8C"/>
    <w:multiLevelType w:val="hybridMultilevel"/>
    <w:tmpl w:val="B0F67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6208"/>
    <w:multiLevelType w:val="hybridMultilevel"/>
    <w:tmpl w:val="26ACF6AC"/>
    <w:lvl w:ilvl="0" w:tplc="131A1948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CA"/>
    <w:multiLevelType w:val="hybridMultilevel"/>
    <w:tmpl w:val="80EA0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976"/>
    <w:multiLevelType w:val="hybridMultilevel"/>
    <w:tmpl w:val="1FF8F6E8"/>
    <w:lvl w:ilvl="0" w:tplc="11F68DF2">
      <w:numFmt w:val="bullet"/>
      <w:lvlText w:val="-"/>
      <w:lvlJc w:val="left"/>
      <w:pPr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18E7FE8"/>
    <w:multiLevelType w:val="hybridMultilevel"/>
    <w:tmpl w:val="5AF61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F3CE0"/>
    <w:multiLevelType w:val="hybridMultilevel"/>
    <w:tmpl w:val="6E449F12"/>
    <w:lvl w:ilvl="0" w:tplc="2932D6B4">
      <w:start w:val="202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870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E26544"/>
    <w:multiLevelType w:val="hybridMultilevel"/>
    <w:tmpl w:val="6F966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86733"/>
    <w:multiLevelType w:val="hybridMultilevel"/>
    <w:tmpl w:val="A27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3AA2"/>
    <w:multiLevelType w:val="hybridMultilevel"/>
    <w:tmpl w:val="EF9A9CA0"/>
    <w:lvl w:ilvl="0" w:tplc="FBA0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4854DD"/>
    <w:multiLevelType w:val="hybridMultilevel"/>
    <w:tmpl w:val="F06C1566"/>
    <w:lvl w:ilvl="0" w:tplc="FBA0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975D74"/>
    <w:multiLevelType w:val="hybridMultilevel"/>
    <w:tmpl w:val="34A89378"/>
    <w:lvl w:ilvl="0" w:tplc="C9AC6D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23F90"/>
    <w:multiLevelType w:val="hybridMultilevel"/>
    <w:tmpl w:val="66821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6844">
    <w:abstractNumId w:val="4"/>
  </w:num>
  <w:num w:numId="2" w16cid:durableId="1535926297">
    <w:abstractNumId w:val="12"/>
  </w:num>
  <w:num w:numId="3" w16cid:durableId="1421294390">
    <w:abstractNumId w:val="13"/>
  </w:num>
  <w:num w:numId="4" w16cid:durableId="137767961">
    <w:abstractNumId w:val="6"/>
  </w:num>
  <w:num w:numId="5" w16cid:durableId="67388955">
    <w:abstractNumId w:val="15"/>
  </w:num>
  <w:num w:numId="6" w16cid:durableId="1590891105">
    <w:abstractNumId w:val="9"/>
  </w:num>
  <w:num w:numId="7" w16cid:durableId="25060071">
    <w:abstractNumId w:val="18"/>
  </w:num>
  <w:num w:numId="8" w16cid:durableId="1444377628">
    <w:abstractNumId w:val="2"/>
  </w:num>
  <w:num w:numId="9" w16cid:durableId="363746895">
    <w:abstractNumId w:val="7"/>
  </w:num>
  <w:num w:numId="10" w16cid:durableId="1626696835">
    <w:abstractNumId w:val="16"/>
  </w:num>
  <w:num w:numId="11" w16cid:durableId="1761103822">
    <w:abstractNumId w:val="17"/>
  </w:num>
  <w:num w:numId="12" w16cid:durableId="2070615771">
    <w:abstractNumId w:val="11"/>
  </w:num>
  <w:num w:numId="13" w16cid:durableId="1241140328">
    <w:abstractNumId w:val="3"/>
  </w:num>
  <w:num w:numId="14" w16cid:durableId="1540433332">
    <w:abstractNumId w:val="0"/>
  </w:num>
  <w:num w:numId="15" w16cid:durableId="2119447586">
    <w:abstractNumId w:val="5"/>
  </w:num>
  <w:num w:numId="16" w16cid:durableId="229968787">
    <w:abstractNumId w:val="14"/>
  </w:num>
  <w:num w:numId="17" w16cid:durableId="1629625978">
    <w:abstractNumId w:val="19"/>
  </w:num>
  <w:num w:numId="18" w16cid:durableId="1731728912">
    <w:abstractNumId w:val="1"/>
  </w:num>
  <w:num w:numId="19" w16cid:durableId="1266495264">
    <w:abstractNumId w:val="10"/>
  </w:num>
  <w:num w:numId="20" w16cid:durableId="1726563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96"/>
    <w:rsid w:val="00035038"/>
    <w:rsid w:val="000417B6"/>
    <w:rsid w:val="00060C87"/>
    <w:rsid w:val="000656C2"/>
    <w:rsid w:val="0009007A"/>
    <w:rsid w:val="00091C28"/>
    <w:rsid w:val="00091CD2"/>
    <w:rsid w:val="000A2220"/>
    <w:rsid w:val="000B11CE"/>
    <w:rsid w:val="000C0F4B"/>
    <w:rsid w:val="000C1F5D"/>
    <w:rsid w:val="000C3DE2"/>
    <w:rsid w:val="000E4F1C"/>
    <w:rsid w:val="000F60CC"/>
    <w:rsid w:val="000F6B36"/>
    <w:rsid w:val="00105614"/>
    <w:rsid w:val="00114AC8"/>
    <w:rsid w:val="00122E4E"/>
    <w:rsid w:val="001335BD"/>
    <w:rsid w:val="00140109"/>
    <w:rsid w:val="00142AF7"/>
    <w:rsid w:val="00171D18"/>
    <w:rsid w:val="001779FE"/>
    <w:rsid w:val="00195462"/>
    <w:rsid w:val="001B34B1"/>
    <w:rsid w:val="001C10A0"/>
    <w:rsid w:val="001D67D8"/>
    <w:rsid w:val="001D6B40"/>
    <w:rsid w:val="001E4346"/>
    <w:rsid w:val="001F139B"/>
    <w:rsid w:val="001F2655"/>
    <w:rsid w:val="002041CA"/>
    <w:rsid w:val="00220D2D"/>
    <w:rsid w:val="002220EB"/>
    <w:rsid w:val="00240C87"/>
    <w:rsid w:val="00251DA1"/>
    <w:rsid w:val="00257149"/>
    <w:rsid w:val="00271EC8"/>
    <w:rsid w:val="002725D6"/>
    <w:rsid w:val="00273A5A"/>
    <w:rsid w:val="00275A26"/>
    <w:rsid w:val="00277343"/>
    <w:rsid w:val="002776F4"/>
    <w:rsid w:val="00293781"/>
    <w:rsid w:val="00293C07"/>
    <w:rsid w:val="002B5A92"/>
    <w:rsid w:val="002E2409"/>
    <w:rsid w:val="003058B9"/>
    <w:rsid w:val="0031242B"/>
    <w:rsid w:val="00316068"/>
    <w:rsid w:val="00317287"/>
    <w:rsid w:val="003369CD"/>
    <w:rsid w:val="00345839"/>
    <w:rsid w:val="00346017"/>
    <w:rsid w:val="00347981"/>
    <w:rsid w:val="00357867"/>
    <w:rsid w:val="00363066"/>
    <w:rsid w:val="003910E3"/>
    <w:rsid w:val="003B6140"/>
    <w:rsid w:val="003E4CCD"/>
    <w:rsid w:val="00401A82"/>
    <w:rsid w:val="00415E48"/>
    <w:rsid w:val="004257E9"/>
    <w:rsid w:val="0047513D"/>
    <w:rsid w:val="00475F0B"/>
    <w:rsid w:val="004903C7"/>
    <w:rsid w:val="004A1726"/>
    <w:rsid w:val="004B4E9D"/>
    <w:rsid w:val="004C4D5D"/>
    <w:rsid w:val="004E29CC"/>
    <w:rsid w:val="004F7322"/>
    <w:rsid w:val="004F78FB"/>
    <w:rsid w:val="004F7A7D"/>
    <w:rsid w:val="005254B8"/>
    <w:rsid w:val="005437C8"/>
    <w:rsid w:val="00550C8E"/>
    <w:rsid w:val="00554AF4"/>
    <w:rsid w:val="00577C4B"/>
    <w:rsid w:val="005B4412"/>
    <w:rsid w:val="005B443D"/>
    <w:rsid w:val="005E58D6"/>
    <w:rsid w:val="005E7196"/>
    <w:rsid w:val="005F275F"/>
    <w:rsid w:val="006124BD"/>
    <w:rsid w:val="0063719D"/>
    <w:rsid w:val="00660127"/>
    <w:rsid w:val="00685FFC"/>
    <w:rsid w:val="00686C55"/>
    <w:rsid w:val="00695266"/>
    <w:rsid w:val="006A2482"/>
    <w:rsid w:val="006B3876"/>
    <w:rsid w:val="006B3E90"/>
    <w:rsid w:val="006E109C"/>
    <w:rsid w:val="006F02B2"/>
    <w:rsid w:val="00732156"/>
    <w:rsid w:val="007363C8"/>
    <w:rsid w:val="0073677F"/>
    <w:rsid w:val="00743A51"/>
    <w:rsid w:val="007464D2"/>
    <w:rsid w:val="00760B8D"/>
    <w:rsid w:val="007B52B2"/>
    <w:rsid w:val="007B5958"/>
    <w:rsid w:val="007C5378"/>
    <w:rsid w:val="007C714E"/>
    <w:rsid w:val="007F69D5"/>
    <w:rsid w:val="00802314"/>
    <w:rsid w:val="00816761"/>
    <w:rsid w:val="00832323"/>
    <w:rsid w:val="00842493"/>
    <w:rsid w:val="00857190"/>
    <w:rsid w:val="00871F12"/>
    <w:rsid w:val="008766D7"/>
    <w:rsid w:val="008B44EB"/>
    <w:rsid w:val="008C0B1F"/>
    <w:rsid w:val="008E1207"/>
    <w:rsid w:val="008F27AE"/>
    <w:rsid w:val="009360A7"/>
    <w:rsid w:val="00963BD6"/>
    <w:rsid w:val="00982F2D"/>
    <w:rsid w:val="00983593"/>
    <w:rsid w:val="009853E6"/>
    <w:rsid w:val="009A3EB7"/>
    <w:rsid w:val="009C6CEA"/>
    <w:rsid w:val="009C6F12"/>
    <w:rsid w:val="009D2F78"/>
    <w:rsid w:val="009D399E"/>
    <w:rsid w:val="009E11FE"/>
    <w:rsid w:val="00A010BD"/>
    <w:rsid w:val="00A077C2"/>
    <w:rsid w:val="00A1592F"/>
    <w:rsid w:val="00A16885"/>
    <w:rsid w:val="00A25DD7"/>
    <w:rsid w:val="00A3538E"/>
    <w:rsid w:val="00A37D13"/>
    <w:rsid w:val="00A4600B"/>
    <w:rsid w:val="00A54894"/>
    <w:rsid w:val="00A626AE"/>
    <w:rsid w:val="00A63407"/>
    <w:rsid w:val="00A64885"/>
    <w:rsid w:val="00A70E7D"/>
    <w:rsid w:val="00A71279"/>
    <w:rsid w:val="00A80CD2"/>
    <w:rsid w:val="00A84C6C"/>
    <w:rsid w:val="00A84F94"/>
    <w:rsid w:val="00A95EE8"/>
    <w:rsid w:val="00AB2B98"/>
    <w:rsid w:val="00AC588C"/>
    <w:rsid w:val="00AC794E"/>
    <w:rsid w:val="00AF593A"/>
    <w:rsid w:val="00B10838"/>
    <w:rsid w:val="00B13EF9"/>
    <w:rsid w:val="00B473DE"/>
    <w:rsid w:val="00B6174E"/>
    <w:rsid w:val="00B714E4"/>
    <w:rsid w:val="00B732C3"/>
    <w:rsid w:val="00B74763"/>
    <w:rsid w:val="00B82362"/>
    <w:rsid w:val="00B91259"/>
    <w:rsid w:val="00B9724A"/>
    <w:rsid w:val="00BB0CFB"/>
    <w:rsid w:val="00BC2ED5"/>
    <w:rsid w:val="00BF4067"/>
    <w:rsid w:val="00C04902"/>
    <w:rsid w:val="00C102C2"/>
    <w:rsid w:val="00C20D5F"/>
    <w:rsid w:val="00C36574"/>
    <w:rsid w:val="00C4672A"/>
    <w:rsid w:val="00C66D78"/>
    <w:rsid w:val="00C77AE3"/>
    <w:rsid w:val="00C90435"/>
    <w:rsid w:val="00C92701"/>
    <w:rsid w:val="00C94019"/>
    <w:rsid w:val="00CA77B2"/>
    <w:rsid w:val="00CB522E"/>
    <w:rsid w:val="00D02F54"/>
    <w:rsid w:val="00D10F7B"/>
    <w:rsid w:val="00D17627"/>
    <w:rsid w:val="00D65F5F"/>
    <w:rsid w:val="00D66E7D"/>
    <w:rsid w:val="00DA7C32"/>
    <w:rsid w:val="00DB613E"/>
    <w:rsid w:val="00DE397C"/>
    <w:rsid w:val="00DE3DF4"/>
    <w:rsid w:val="00DF3711"/>
    <w:rsid w:val="00DF376E"/>
    <w:rsid w:val="00E26DA4"/>
    <w:rsid w:val="00E33B59"/>
    <w:rsid w:val="00E33F39"/>
    <w:rsid w:val="00E5050B"/>
    <w:rsid w:val="00E5226E"/>
    <w:rsid w:val="00E6260A"/>
    <w:rsid w:val="00E724C5"/>
    <w:rsid w:val="00E76777"/>
    <w:rsid w:val="00E92064"/>
    <w:rsid w:val="00EA243E"/>
    <w:rsid w:val="00EA7342"/>
    <w:rsid w:val="00EB0839"/>
    <w:rsid w:val="00EB0C8C"/>
    <w:rsid w:val="00EC2875"/>
    <w:rsid w:val="00ED00CD"/>
    <w:rsid w:val="00F63D03"/>
    <w:rsid w:val="00F7320A"/>
    <w:rsid w:val="00F749B1"/>
    <w:rsid w:val="00F80734"/>
    <w:rsid w:val="00F87341"/>
    <w:rsid w:val="00F943F2"/>
    <w:rsid w:val="00FA6490"/>
    <w:rsid w:val="00FB62E7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DA7A5"/>
  <w15:docId w15:val="{8C0C0AB0-8101-4DF5-9505-865FCAB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4E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4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link w:val="Cmsor5Char"/>
    <w:uiPriority w:val="9"/>
    <w:qFormat/>
    <w:rsid w:val="004257E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42AF7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E92064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92064"/>
    <w:rPr>
      <w:b/>
      <w:bCs/>
    </w:rPr>
  </w:style>
  <w:style w:type="paragraph" w:customStyle="1" w:styleId="odd">
    <w:name w:val="odd"/>
    <w:basedOn w:val="Norml"/>
    <w:rsid w:val="00E92064"/>
    <w:pPr>
      <w:spacing w:before="100" w:beforeAutospacing="1" w:after="100" w:afterAutospacing="1"/>
    </w:pPr>
  </w:style>
  <w:style w:type="character" w:customStyle="1" w:styleId="Cmsor5Char">
    <w:name w:val="Címsor 5 Char"/>
    <w:basedOn w:val="Bekezdsalapbettpusa"/>
    <w:link w:val="Cmsor5"/>
    <w:uiPriority w:val="9"/>
    <w:rsid w:val="004257E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property">
    <w:name w:val="property"/>
    <w:basedOn w:val="Bekezdsalapbettpusa"/>
    <w:rsid w:val="00963BD6"/>
  </w:style>
  <w:style w:type="character" w:customStyle="1" w:styleId="value">
    <w:name w:val="value"/>
    <w:basedOn w:val="Bekezdsalapbettpusa"/>
    <w:rsid w:val="00963BD6"/>
  </w:style>
  <w:style w:type="paragraph" w:styleId="lfej">
    <w:name w:val="header"/>
    <w:basedOn w:val="Norml"/>
    <w:link w:val="lfejChar"/>
    <w:uiPriority w:val="99"/>
    <w:unhideWhenUsed/>
    <w:rsid w:val="00EB0C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0C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B0C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0C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4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4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T Nem számozott lista,Welt L,Színes lista – 1. jelölőszín1,lista_2,Listaszerﬠbekezd1,Listaszerﬠbekezd11,Listaszerű bekezdés1,T Nem számozott lista Char Char"/>
    <w:basedOn w:val="Norml"/>
    <w:link w:val="ListaszerbekezdsChar"/>
    <w:uiPriority w:val="34"/>
    <w:qFormat/>
    <w:rsid w:val="00802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2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Lbjegyzetszveg">
    <w:name w:val="footnote text"/>
    <w:aliases w:val="Footnote"/>
    <w:basedOn w:val="Norml"/>
    <w:link w:val="LbjegyzetszvegChar"/>
    <w:qFormat/>
    <w:rsid w:val="00E33B59"/>
    <w:rPr>
      <w:sz w:val="20"/>
      <w:szCs w:val="22"/>
    </w:rPr>
  </w:style>
  <w:style w:type="character" w:customStyle="1" w:styleId="LbjegyzetszvegChar">
    <w:name w:val="Lábjegyzetszöveg Char"/>
    <w:aliases w:val="Footnote Char"/>
    <w:basedOn w:val="Bekezdsalapbettpusa"/>
    <w:link w:val="Lbjegyzetszveg"/>
    <w:qFormat/>
    <w:rsid w:val="00E33B59"/>
    <w:rPr>
      <w:rFonts w:ascii="Times New Roman" w:eastAsia="Times New Roman" w:hAnsi="Times New Roman" w:cs="Times New Roman"/>
      <w:sz w:val="20"/>
      <w:lang w:eastAsia="hu-HU"/>
    </w:rPr>
  </w:style>
  <w:style w:type="character" w:styleId="Lbjegyzet-hivatkozs">
    <w:name w:val="footnote reference"/>
    <w:qFormat/>
    <w:rsid w:val="00E33B5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33B59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T Nem számozott lista Char,Welt L Char,Színes lista – 1. jelölőszín1 Char,lista_2 Char,Listaszerﬠbekezd1 Char,Listaszerﬠbekezd11 Char,Listaszerű bekezdés1 Char,T Nem számozott lista Char Char Char"/>
    <w:link w:val="Listaszerbekezds"/>
    <w:uiPriority w:val="99"/>
    <w:locked/>
    <w:rsid w:val="00F7320A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2F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2F2D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2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01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3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7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4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3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7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9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1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6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63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1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4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vajcialap.hu/dokumentumok/altalanos/V&#233;grehajt&#225;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FA42309E691748A2B298507C2AD805" ma:contentTypeVersion="14" ma:contentTypeDescription="Új dokumentum létrehozása." ma:contentTypeScope="" ma:versionID="11113cd17614ee937ed99b400c22ea8c">
  <xsd:schema xmlns:xsd="http://www.w3.org/2001/XMLSchema" xmlns:xs="http://www.w3.org/2001/XMLSchema" xmlns:p="http://schemas.microsoft.com/office/2006/metadata/properties" xmlns:ns3="043fab41-71ae-4498-9deb-b20327323f8d" xmlns:ns4="00e6fdbc-5a6c-4a16-b49d-34cf53d37e7d" targetNamespace="http://schemas.microsoft.com/office/2006/metadata/properties" ma:root="true" ma:fieldsID="1d1b4b43461df12d53637bf9c1ef1398" ns3:_="" ns4:_="">
    <xsd:import namespace="043fab41-71ae-4498-9deb-b20327323f8d"/>
    <xsd:import namespace="00e6fdbc-5a6c-4a16-b49d-34cf53d37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ab41-71ae-4498-9deb-b2032732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fdbc-5a6c-4a16-b49d-34cf53d3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87AD6-EB09-441E-B0E5-0C805FA47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0A3D3-DC0D-4C2A-9872-51521F5B7309}">
  <ds:schemaRefs>
    <ds:schemaRef ds:uri="043fab41-71ae-4498-9deb-b20327323f8d"/>
    <ds:schemaRef ds:uri="http://purl.org/dc/terms/"/>
    <ds:schemaRef ds:uri="http://purl.org/dc/elements/1.1/"/>
    <ds:schemaRef ds:uri="00e6fdbc-5a6c-4a16-b49d-34cf53d37e7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9A3CC39-0D2B-4A17-A8FE-9C3CEF230C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CEE21-8F77-4B35-84F3-D39677012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ab41-71ae-4498-9deb-b20327323f8d"/>
    <ds:schemaRef ds:uri="00e6fdbc-5a6c-4a16-b49d-34cf53d37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916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Szécsiné Marton Éva</cp:lastModifiedBy>
  <cp:revision>9</cp:revision>
  <cp:lastPrinted>2025-01-06T15:18:00Z</cp:lastPrinted>
  <dcterms:created xsi:type="dcterms:W3CDTF">2025-01-06T15:18:00Z</dcterms:created>
  <dcterms:modified xsi:type="dcterms:W3CDTF">2025-03-12T13:21:00Z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0x010100A9FA42309E691748A2B298507C2AD805</vt:lpwstr>
  </property>
</Properties>
</file>